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rlito" w:hAnsi="Carlito" w:eastAsia="Carlito" w:cs="Carlito"/>
          <w:b/>
          <w:i w:val="0"/>
          <w:color w:val="152B49"/>
          <w:sz w:val="35"/>
        </w:rPr>
        <w:t>EVENT-DRIVEN ARCHITECTURE</w:t>
      </w:r>
    </w:p>
    <w:p>
      <w:pPr>
        <w:spacing w:after="180"/>
      </w:pPr>
      <w:r>
        <w:rPr>
          <w:rFonts w:ascii="Carlito" w:hAnsi="Carlito" w:eastAsia="Carlito" w:cs="Carlito"/>
          <w:b/>
          <w:i w:val="0"/>
          <w:color w:val="007471"/>
          <w:sz w:val="20"/>
        </w:rPr>
        <w:t>Bài tập vận dụng  ·  60 phút  ·  10 điểm  ·  Không yêu cầu lập trình</w:t>
      </w:r>
    </w:p>
    <w:p>
      <w:pPr>
        <w:spacing w:after="200"/>
      </w:pPr>
      <w:r>
        <w:rPr>
          <w:rFonts w:ascii="Carlito" w:hAnsi="Carlito" w:eastAsia="Carlito" w:cs="Carlito"/>
          <w:b/>
          <w:i w:val="0"/>
          <w:color w:val="536070"/>
          <w:sz w:val="18"/>
        </w:rPr>
        <w:t xml:space="preserve">Họ và tên: </w:t>
      </w:r>
      <w:r>
        <w:rPr>
          <w:rFonts w:ascii="Carlito" w:hAnsi="Carlito" w:eastAsia="Carlito" w:cs="Carlito"/>
          <w:b w:val="0"/>
          <w:i w:val="0"/>
          <w:color w:val="536070"/>
          <w:sz w:val="18"/>
        </w:rPr>
        <w:t>................................................................................</w:t>
      </w:r>
      <w:r>
        <w:rPr>
          <w:rFonts w:ascii="Carlito" w:hAnsi="Carlito" w:eastAsia="Carlito" w:cs="Carlito"/>
          <w:b/>
          <w:i w:val="0"/>
          <w:color w:val="536070"/>
          <w:sz w:val="18"/>
        </w:rPr>
        <w:t xml:space="preserve">     MSSV: </w:t>
      </w:r>
      <w:r>
        <w:rPr>
          <w:rFonts w:ascii="Carlito" w:hAnsi="Carlito" w:eastAsia="Carlito" w:cs="Carlito"/>
          <w:b w:val="0"/>
          <w:i w:val="0"/>
          <w:color w:val="536070"/>
          <w:sz w:val="18"/>
        </w:rPr>
        <w:t>................................</w:t>
      </w:r>
    </w:p>
    <w:tbl>
      <w:tblPr>
        <w:tblW w:type="auto" w:w="0"/>
        <w:tblLayout w:type="fixed"/>
        <w:tblLook w:firstColumn="1" w:firstRow="1" w:lastColumn="0" w:lastRow="0" w:noHBand="0" w:noVBand="1" w:val="04A0"/>
      </w:tblPr>
      <w:tblGrid>
        <w:gridCol w:w="10001"/>
      </w:tblGrid>
      <w:tr>
        <w:tc>
          <w:tcPr>
            <w:tcW w:type="dxa" w:w="10002"/>
            <w:shd w:fill="EAF2F6"/>
            <w:tcMar>
              <w:top w:w="105" w:type="dxa"/>
              <w:start w:w="165" w:type="dxa"/>
              <w:bottom w:w="90" w:type="dxa"/>
              <w:end w:w="160" w:type="dxa"/>
            </w:tcMar>
            <w:tcBorders>
              <w:left w:val="single" w:sz="24" w:color="007471"/>
            </w:tcBorders>
          </w:tcPr>
          <w:p>
            <w:pPr>
              <w:spacing w:after="80"/>
            </w:pPr>
            <w:r>
              <w:rPr>
                <w:rFonts w:ascii="Carlito" w:hAnsi="Carlito" w:eastAsia="Carlito" w:cs="Carlito"/>
                <w:b/>
                <w:i w:val="0"/>
                <w:color w:val="1B5080"/>
                <w:sz w:val="20"/>
              </w:rPr>
              <w:t>TÌNH HUỐNG THỰC TẾ  |  ĐĂNG KÝ WORKSHOP</w:t>
            </w:r>
          </w:p>
          <w:p>
            <w:pPr>
              <w:spacing w:line="258" w:lineRule="auto" w:after="60"/>
            </w:pPr>
            <w:r>
              <w:rPr>
                <w:rFonts w:ascii="Carlito" w:hAnsi="Carlito" w:eastAsia="Carlito" w:cs="Carlito"/>
                <w:b w:val="0"/>
                <w:i w:val="0"/>
              </w:rPr>
              <w:t xml:space="preserve">Khoa tổ chức workshop có </w:t>
            </w:r>
            <w:r>
              <w:rPr>
                <w:rFonts w:ascii="Carlito" w:hAnsi="Carlito" w:eastAsia="Carlito" w:cs="Carlito"/>
                <w:b/>
                <w:i w:val="0"/>
              </w:rPr>
              <w:t>80 chỗ</w:t>
            </w:r>
            <w:r>
              <w:rPr>
                <w:rFonts w:ascii="Carlito" w:hAnsi="Carlito" w:eastAsia="Carlito" w:cs="Carlito"/>
                <w:b w:val="0"/>
                <w:i w:val="0"/>
              </w:rPr>
              <w:t xml:space="preserve">. Sinh viên đăng ký qua ứng dụng và trả phí </w:t>
            </w:r>
            <w:r>
              <w:rPr>
                <w:rFonts w:ascii="Carlito" w:hAnsi="Carlito" w:eastAsia="Carlito" w:cs="Carlito"/>
                <w:b/>
                <w:i w:val="0"/>
              </w:rPr>
              <w:t>100.000 đồng</w:t>
            </w:r>
            <w:r>
              <w:rPr>
                <w:rFonts w:ascii="Carlito" w:hAnsi="Carlito" w:eastAsia="Carlito" w:cs="Carlito"/>
                <w:b w:val="0"/>
                <w:i w:val="0"/>
              </w:rPr>
              <w:t xml:space="preserve">. Hệ thống gồm các dịch vụ: </w:t>
            </w:r>
            <w:r>
              <w:rPr>
                <w:rFonts w:ascii="Carlito" w:hAnsi="Carlito" w:eastAsia="Carlito" w:cs="Carlito"/>
                <w:b/>
                <w:i w:val="0"/>
              </w:rPr>
              <w:t>Registration</w:t>
            </w:r>
            <w:r>
              <w:rPr>
                <w:rFonts w:ascii="Carlito" w:hAnsi="Carlito" w:eastAsia="Carlito" w:cs="Carlito"/>
                <w:b w:val="0"/>
                <w:i w:val="0"/>
              </w:rPr>
              <w:t xml:space="preserve"> (đăng ký), </w:t>
            </w:r>
            <w:r>
              <w:rPr>
                <w:rFonts w:ascii="Carlito" w:hAnsi="Carlito" w:eastAsia="Carlito" w:cs="Carlito"/>
                <w:b/>
                <w:i w:val="0"/>
              </w:rPr>
              <w:t>Seat</w:t>
            </w:r>
            <w:r>
              <w:rPr>
                <w:rFonts w:ascii="Carlito" w:hAnsi="Carlito" w:eastAsia="Carlito" w:cs="Carlito"/>
                <w:b w:val="0"/>
                <w:i w:val="0"/>
              </w:rPr>
              <w:t xml:space="preserve"> (giữ chỗ), </w:t>
            </w:r>
            <w:r>
              <w:rPr>
                <w:rFonts w:ascii="Carlito" w:hAnsi="Carlito" w:eastAsia="Carlito" w:cs="Carlito"/>
                <w:b/>
                <w:i w:val="0"/>
              </w:rPr>
              <w:t>Payment</w:t>
            </w:r>
            <w:r>
              <w:rPr>
                <w:rFonts w:ascii="Carlito" w:hAnsi="Carlito" w:eastAsia="Carlito" w:cs="Carlito"/>
                <w:b w:val="0"/>
                <w:i w:val="0"/>
              </w:rPr>
              <w:t xml:space="preserve"> (thanh toán), </w:t>
            </w:r>
            <w:r>
              <w:rPr>
                <w:rFonts w:ascii="Carlito" w:hAnsi="Carlito" w:eastAsia="Carlito" w:cs="Carlito"/>
                <w:b/>
                <w:i w:val="0"/>
              </w:rPr>
              <w:t>Notification</w:t>
            </w:r>
            <w:r>
              <w:rPr>
                <w:rFonts w:ascii="Carlito" w:hAnsi="Carlito" w:eastAsia="Carlito" w:cs="Carlito"/>
                <w:b w:val="0"/>
                <w:i w:val="0"/>
              </w:rPr>
              <w:t xml:space="preserve"> (gửi email) và </w:t>
            </w:r>
            <w:r>
              <w:rPr>
                <w:rFonts w:ascii="Carlito" w:hAnsi="Carlito" w:eastAsia="Carlito" w:cs="Carlito"/>
                <w:b/>
                <w:i w:val="0"/>
              </w:rPr>
              <w:t>Analytics</w:t>
            </w:r>
            <w:r>
              <w:rPr>
                <w:rFonts w:ascii="Carlito" w:hAnsi="Carlito" w:eastAsia="Carlito" w:cs="Carlito"/>
                <w:b w:val="0"/>
                <w:i w:val="0"/>
              </w:rPr>
              <w:t xml:space="preserve"> (thống kê).</w:t>
            </w:r>
          </w:p>
          <w:p>
            <w:pPr>
              <w:spacing w:line="258" w:lineRule="auto"/>
            </w:pPr>
            <w:r>
              <w:rPr>
                <w:rFonts w:ascii="Carlito" w:hAnsi="Carlito" w:eastAsia="Carlito" w:cs="Carlito"/>
                <w:b/>
                <w:i w:val="0"/>
              </w:rPr>
              <w:t xml:space="preserve">Quy tắc: </w:t>
            </w:r>
            <w:r>
              <w:rPr>
                <w:rFonts w:ascii="Carlito" w:hAnsi="Carlito" w:eastAsia="Carlito" w:cs="Carlito"/>
                <w:b w:val="0"/>
                <w:i w:val="0"/>
              </w:rPr>
              <w:t xml:space="preserve">Chỉ xác nhận đăng ký khi đã giữ chỗ </w:t>
            </w:r>
            <w:r>
              <w:rPr>
                <w:rFonts w:ascii="Carlito" w:hAnsi="Carlito" w:eastAsia="Carlito" w:cs="Carlito"/>
                <w:b/>
                <w:i w:val="0"/>
              </w:rPr>
              <w:t>và</w:t>
            </w:r>
            <w:r>
              <w:rPr>
                <w:rFonts w:ascii="Carlito" w:hAnsi="Carlito" w:eastAsia="Carlito" w:cs="Carlito"/>
                <w:b w:val="0"/>
                <w:i w:val="0"/>
              </w:rPr>
              <w:t xml:space="preserve"> thanh toán thành công; thanh toán thất bại hoặc quá hạn thì phải giải phóng chỗ đã giữ. Email chỉ gửi sau khi xác nhận; Analytics gặp lỗi không được làm gián đoạn đăng ký. Một thông điệp có thể được giao lại khi hệ thống thử gửi lần nữa.</w:t>
            </w:r>
          </w:p>
        </w:tc>
      </w:tr>
    </w:tbl>
    <w:p>
      <w:pPr>
        <w:spacing w:before="100" w:after="140"/>
      </w:pPr>
      <w:r>
        <w:rPr>
          <w:rFonts w:ascii="Carlito" w:hAnsi="Carlito" w:eastAsia="Carlito" w:cs="Carlito"/>
          <w:b/>
          <w:i w:val="0"/>
          <w:color w:val="536070"/>
          <w:sz w:val="18"/>
        </w:rPr>
        <w:t xml:space="preserve">Ví dụ cách ghi luồng (không phải đáp án): </w:t>
      </w:r>
      <w:r>
        <w:rPr>
          <w:rFonts w:ascii="Carlito" w:hAnsi="Carlito" w:eastAsia="Carlito" w:cs="Carlito"/>
          <w:b w:val="0"/>
          <w:i/>
          <w:color w:val="536070"/>
          <w:sz w:val="18"/>
        </w:rPr>
        <w:t>BookReturned → Fine Service → FineUpdated  (hệ thống thư viện).</w:t>
      </w:r>
    </w:p>
    <w:tbl>
      <w:tblPr>
        <w:tblW w:type="auto" w:w="0"/>
        <w:jc w:val="center"/>
        <w:tblLayout w:type="fixed"/>
        <w:tblLook w:firstColumn="1" w:firstRow="1" w:lastColumn="0" w:lastRow="0" w:noHBand="0" w:noVBand="1" w:val="04A0"/>
      </w:tblPr>
      <w:tblGrid>
        <w:gridCol w:w="7087"/>
        <w:gridCol w:w="2976"/>
      </w:tblGrid>
      <w:tr>
        <w:tc>
          <w:tcPr>
            <w:tcW w:type="dxa" w:w="5001"/>
            <w:tcMar>
              <w:top w:w="65" w:type="dxa"/>
              <w:start w:w="90" w:type="dxa"/>
              <w:bottom w:w="55" w:type="dxa"/>
              <w:end w:w="90" w:type="dxa"/>
            </w:tcMar>
            <w:shd w:fill="F4F8FA"/>
            <w:tcBorders>
              <w:bottom w:val="single" w:sz="6" w:color="CBDDE6"/>
            </w:tcBorders>
          </w:tcPr>
          <w:p>
            <w:pPr>
              <w:spacing w:after="0"/>
            </w:pPr>
            <w:r>
              <w:rPr>
                <w:rFonts w:ascii="Carlito" w:hAnsi="Carlito" w:eastAsia="Carlito" w:cs="Carlito"/>
                <w:b/>
                <w:i w:val="0"/>
                <w:color w:val="152B49"/>
                <w:sz w:val="21"/>
              </w:rPr>
              <w:t>01.  Nhận diện sự kiện</w:t>
            </w:r>
          </w:p>
        </w:tc>
        <w:tc>
          <w:tcPr>
            <w:tcW w:type="dxa" w:w="5001"/>
            <w:tcMar>
              <w:top w:w="65" w:type="dxa"/>
              <w:start w:w="90" w:type="dxa"/>
              <w:bottom w:w="55" w:type="dxa"/>
              <w:end w:w="90" w:type="dxa"/>
            </w:tcMar>
            <w:shd w:fill="F4F8FA"/>
            <w:tcBorders>
              <w:bottom w:val="single" w:sz="6" w:color="CBDDE6"/>
            </w:tcBorders>
          </w:tcPr>
          <w:p>
            <w:pPr>
              <w:jc w:val="right"/>
            </w:pPr>
            <w:r>
              <w:rPr>
                <w:rFonts w:ascii="Carlito" w:hAnsi="Carlito" w:eastAsia="Carlito" w:cs="Carlito"/>
                <w:b/>
                <w:i w:val="0"/>
                <w:color w:val="007471"/>
                <w:sz w:val="19"/>
              </w:rPr>
              <w:t>10 phút  ·  2,0 điểm</w:t>
            </w:r>
          </w:p>
        </w:tc>
      </w:tr>
    </w:tbl>
    <w:p>
      <w:pPr>
        <w:spacing w:before="40" w:after="100"/>
        <w:ind w:left="153" w:hanging="102"/>
      </w:pPr>
      <w:r>
        <w:rPr>
          <w:rFonts w:ascii="Carlito" w:hAnsi="Carlito" w:eastAsia="Carlito" w:cs="Carlito"/>
          <w:b/>
          <w:i w:val="0"/>
          <w:color w:val="007471"/>
          <w:sz w:val="20"/>
        </w:rPr>
        <w:t xml:space="preserve">•  </w:t>
      </w:r>
      <w:r>
        <w:rPr>
          <w:rFonts w:ascii="Carlito" w:hAnsi="Carlito" w:eastAsia="Carlito" w:cs="Carlito"/>
          <w:b w:val="0"/>
          <w:i w:val="0"/>
          <w:sz w:val="20"/>
        </w:rPr>
        <w:t>Đề xuất 01 initiating event và 02 processing events cho tình huống. Với mỗi event, nêu: điều gì đã xảy ra, dịch vụ phát và dịch vụ nhận/xử lý. Chọn 01 event, chỉ ra 02 trường dữ liệu cần có và giải thích lý do.</w:t>
      </w:r>
    </w:p>
    <w:tbl>
      <w:tblPr>
        <w:tblW w:type="auto" w:w="0"/>
        <w:jc w:val="center"/>
        <w:tblLayout w:type="fixed"/>
        <w:tblLook w:firstColumn="1" w:firstRow="1" w:lastColumn="0" w:lastRow="0" w:noHBand="0" w:noVBand="1" w:val="04A0"/>
      </w:tblPr>
      <w:tblGrid>
        <w:gridCol w:w="7087"/>
        <w:gridCol w:w="2976"/>
      </w:tblGrid>
      <w:tr>
        <w:tc>
          <w:tcPr>
            <w:tcW w:type="dxa" w:w="5001"/>
            <w:tcMar>
              <w:top w:w="65" w:type="dxa"/>
              <w:start w:w="90" w:type="dxa"/>
              <w:bottom w:w="55" w:type="dxa"/>
              <w:end w:w="90" w:type="dxa"/>
            </w:tcMar>
            <w:shd w:fill="F4F8FA"/>
            <w:tcBorders>
              <w:bottom w:val="single" w:sz="6" w:color="CBDDE6"/>
            </w:tcBorders>
          </w:tcPr>
          <w:p>
            <w:pPr>
              <w:spacing w:after="0"/>
            </w:pPr>
            <w:r>
              <w:rPr>
                <w:rFonts w:ascii="Carlito" w:hAnsi="Carlito" w:eastAsia="Carlito" w:cs="Carlito"/>
                <w:b/>
                <w:i w:val="0"/>
                <w:color w:val="152B49"/>
                <w:sz w:val="21"/>
              </w:rPr>
              <w:t>02.  Lựa chọn kiến trúc</w:t>
            </w:r>
          </w:p>
        </w:tc>
        <w:tc>
          <w:tcPr>
            <w:tcW w:type="dxa" w:w="5001"/>
            <w:tcMar>
              <w:top w:w="65" w:type="dxa"/>
              <w:start w:w="90" w:type="dxa"/>
              <w:bottom w:w="55" w:type="dxa"/>
              <w:end w:w="90" w:type="dxa"/>
            </w:tcMar>
            <w:shd w:fill="F4F8FA"/>
            <w:tcBorders>
              <w:bottom w:val="single" w:sz="6" w:color="CBDDE6"/>
            </w:tcBorders>
          </w:tcPr>
          <w:p>
            <w:pPr>
              <w:jc w:val="right"/>
            </w:pPr>
            <w:r>
              <w:rPr>
                <w:rFonts w:ascii="Carlito" w:hAnsi="Carlito" w:eastAsia="Carlito" w:cs="Carlito"/>
                <w:b/>
                <w:i w:val="0"/>
                <w:color w:val="007471"/>
                <w:sz w:val="19"/>
              </w:rPr>
              <w:t>15 phút  ·  2,5 điểm</w:t>
            </w:r>
          </w:p>
        </w:tc>
      </w:tr>
    </w:tbl>
    <w:p>
      <w:pPr>
        <w:spacing w:before="40" w:after="100"/>
        <w:ind w:left="153" w:hanging="102"/>
      </w:pPr>
      <w:r>
        <w:rPr>
          <w:rFonts w:ascii="Carlito" w:hAnsi="Carlito" w:eastAsia="Carlito" w:cs="Carlito"/>
          <w:b/>
          <w:i w:val="0"/>
          <w:color w:val="007471"/>
          <w:sz w:val="20"/>
        </w:rPr>
        <w:t xml:space="preserve">•  </w:t>
      </w:r>
      <w:r>
        <w:rPr>
          <w:rFonts w:ascii="Carlito" w:hAnsi="Carlito" w:eastAsia="Carlito" w:cs="Carlito"/>
          <w:b w:val="0"/>
          <w:i w:val="0"/>
          <w:sz w:val="20"/>
        </w:rPr>
        <w:t>Bạn ưu tiên Broker topology hay Mediator topology? Nêu 02 lý do từ yêu cầu nghiệp vụ; phân tích 01 đánh đổi (trade-off) của phương án chọn và 01 khó khăn nếu dùng phương án còn lại. Có thể chọn phương án khác nhau nếu lập luận hợp lý.</w:t>
      </w:r>
    </w:p>
    <w:tbl>
      <w:tblPr>
        <w:tblW w:type="auto" w:w="0"/>
        <w:jc w:val="center"/>
        <w:tblLayout w:type="fixed"/>
        <w:tblLook w:firstColumn="1" w:firstRow="1" w:lastColumn="0" w:lastRow="0" w:noHBand="0" w:noVBand="1" w:val="04A0"/>
      </w:tblPr>
      <w:tblGrid>
        <w:gridCol w:w="7087"/>
        <w:gridCol w:w="2976"/>
      </w:tblGrid>
      <w:tr>
        <w:tc>
          <w:tcPr>
            <w:tcW w:type="dxa" w:w="5001"/>
            <w:tcMar>
              <w:top w:w="65" w:type="dxa"/>
              <w:start w:w="90" w:type="dxa"/>
              <w:bottom w:w="55" w:type="dxa"/>
              <w:end w:w="90" w:type="dxa"/>
            </w:tcMar>
            <w:shd w:fill="F4F8FA"/>
            <w:tcBorders>
              <w:bottom w:val="single" w:sz="6" w:color="CBDDE6"/>
            </w:tcBorders>
          </w:tcPr>
          <w:p>
            <w:pPr>
              <w:spacing w:after="0"/>
            </w:pPr>
            <w:r>
              <w:rPr>
                <w:rFonts w:ascii="Carlito" w:hAnsi="Carlito" w:eastAsia="Carlito" w:cs="Carlito"/>
                <w:b/>
                <w:i w:val="0"/>
                <w:color w:val="152B49"/>
                <w:sz w:val="21"/>
              </w:rPr>
              <w:t>03.  Thiết kế luồng xử lý</w:t>
            </w:r>
          </w:p>
        </w:tc>
        <w:tc>
          <w:tcPr>
            <w:tcW w:type="dxa" w:w="5001"/>
            <w:tcMar>
              <w:top w:w="65" w:type="dxa"/>
              <w:start w:w="90" w:type="dxa"/>
              <w:bottom w:w="55" w:type="dxa"/>
              <w:end w:w="90" w:type="dxa"/>
            </w:tcMar>
            <w:shd w:fill="F4F8FA"/>
            <w:tcBorders>
              <w:bottom w:val="single" w:sz="6" w:color="CBDDE6"/>
            </w:tcBorders>
          </w:tcPr>
          <w:p>
            <w:pPr>
              <w:jc w:val="right"/>
            </w:pPr>
            <w:r>
              <w:rPr>
                <w:rFonts w:ascii="Carlito" w:hAnsi="Carlito" w:eastAsia="Carlito" w:cs="Carlito"/>
                <w:b/>
                <w:i w:val="0"/>
                <w:color w:val="007471"/>
                <w:sz w:val="19"/>
              </w:rPr>
              <w:t>20 phút  ·  3,0 điểm</w:t>
            </w:r>
          </w:p>
        </w:tc>
      </w:tr>
    </w:tbl>
    <w:p>
      <w:pPr>
        <w:spacing w:before="40" w:after="100"/>
        <w:ind w:left="153" w:hanging="102"/>
      </w:pPr>
      <w:r>
        <w:rPr>
          <w:rFonts w:ascii="Carlito" w:hAnsi="Carlito" w:eastAsia="Carlito" w:cs="Carlito"/>
          <w:b/>
          <w:i w:val="0"/>
          <w:color w:val="007471"/>
          <w:sz w:val="20"/>
        </w:rPr>
        <w:t xml:space="preserve">•  </w:t>
      </w:r>
      <w:r>
        <w:rPr>
          <w:rFonts w:ascii="Carlito" w:hAnsi="Carlito" w:eastAsia="Carlito" w:cs="Carlito"/>
          <w:b w:val="0"/>
          <w:i w:val="0"/>
          <w:sz w:val="20"/>
        </w:rPr>
        <w:t>Vẽ sơ đồ từ lúc nhấn “Đăng ký” đến khi gửi email: có các service, kênh sự kiện/hàng đợi (nếu dùng), mũi tên truyền event/command. Đánh dấu nơi kiểm tra điều kiện xác nhận và cách Analytics nhận thông tin. Viết 02 câu giải thích vì sao luồng của bạn vận hành được.</w:t>
      </w:r>
    </w:p>
    <w:tbl>
      <w:tblPr>
        <w:tblW w:type="auto" w:w="0"/>
        <w:jc w:val="center"/>
        <w:tblLayout w:type="fixed"/>
        <w:tblLook w:firstColumn="1" w:firstRow="1" w:lastColumn="0" w:lastRow="0" w:noHBand="0" w:noVBand="1" w:val="04A0"/>
      </w:tblPr>
      <w:tblGrid>
        <w:gridCol w:w="7087"/>
        <w:gridCol w:w="2976"/>
      </w:tblGrid>
      <w:tr>
        <w:tc>
          <w:tcPr>
            <w:tcW w:type="dxa" w:w="5001"/>
            <w:tcMar>
              <w:top w:w="65" w:type="dxa"/>
              <w:start w:w="90" w:type="dxa"/>
              <w:bottom w:w="55" w:type="dxa"/>
              <w:end w:w="90" w:type="dxa"/>
            </w:tcMar>
            <w:shd w:fill="F4F8FA"/>
            <w:tcBorders>
              <w:bottom w:val="single" w:sz="6" w:color="CBDDE6"/>
            </w:tcBorders>
          </w:tcPr>
          <w:p>
            <w:pPr>
              <w:spacing w:after="0"/>
            </w:pPr>
            <w:r>
              <w:rPr>
                <w:rFonts w:ascii="Carlito" w:hAnsi="Carlito" w:eastAsia="Carlito" w:cs="Carlito"/>
                <w:b/>
                <w:i w:val="0"/>
                <w:color w:val="152B49"/>
                <w:sz w:val="21"/>
              </w:rPr>
              <w:t>04.  Phân tích sự cố</w:t>
            </w:r>
          </w:p>
        </w:tc>
        <w:tc>
          <w:tcPr>
            <w:tcW w:type="dxa" w:w="5001"/>
            <w:tcMar>
              <w:top w:w="65" w:type="dxa"/>
              <w:start w:w="90" w:type="dxa"/>
              <w:bottom w:w="55" w:type="dxa"/>
              <w:end w:w="90" w:type="dxa"/>
            </w:tcMar>
            <w:shd w:fill="F4F8FA"/>
            <w:tcBorders>
              <w:bottom w:val="single" w:sz="6" w:color="CBDDE6"/>
            </w:tcBorders>
          </w:tcPr>
          <w:p>
            <w:pPr>
              <w:jc w:val="right"/>
            </w:pPr>
            <w:r>
              <w:rPr>
                <w:rFonts w:ascii="Carlito" w:hAnsi="Carlito" w:eastAsia="Carlito" w:cs="Carlito"/>
                <w:b/>
                <w:i w:val="0"/>
                <w:color w:val="007471"/>
                <w:sz w:val="19"/>
              </w:rPr>
              <w:t>15 phút  ·  2,5 điểm</w:t>
            </w:r>
          </w:p>
        </w:tc>
      </w:tr>
    </w:tbl>
    <w:p>
      <w:pPr>
        <w:spacing w:before="40" w:after="100"/>
        <w:ind w:left="153" w:hanging="102"/>
      </w:pPr>
      <w:r>
        <w:rPr>
          <w:rFonts w:ascii="Carlito" w:hAnsi="Carlito" w:eastAsia="Carlito" w:cs="Carlito"/>
          <w:b/>
          <w:i w:val="0"/>
          <w:color w:val="007471"/>
          <w:sz w:val="20"/>
        </w:rPr>
        <w:t xml:space="preserve">•  </w:t>
      </w:r>
      <w:r>
        <w:rPr>
          <w:rFonts w:ascii="Carlito" w:hAnsi="Carlito" w:eastAsia="Carlito" w:cs="Carlito"/>
          <w:b w:val="0"/>
          <w:i w:val="0"/>
          <w:sz w:val="20"/>
        </w:rPr>
        <w:t>(a) Seat đã giữ chỗ nhưng Payment không phản hồi trong 30 giây: đăng ký phải ở trạng thái nào và xử lý chỗ ra sao? (b) Yêu cầu đăng ký bị nhận lặp hai lần: rủi ro gì và phòng tránh thế nào? Mỗi ý trình bày theo “nguy cơ → xử lý → lý do”.</w:t>
      </w:r>
    </w:p>
    <w:p>
      <w:pPr>
        <w:spacing w:before="100" w:after="60"/>
      </w:pPr>
      <w:r>
        <w:rPr>
          <w:rFonts w:ascii="Carlito" w:hAnsi="Carlito" w:eastAsia="Carlito" w:cs="Carlito"/>
          <w:b/>
          <w:i w:val="0"/>
          <w:color w:val="1B5080"/>
          <w:sz w:val="19"/>
        </w:rPr>
        <w:t>TIÊU CHÍ CHẤM ĐIỂM</w:t>
      </w:r>
    </w:p>
    <w:tbl>
      <w:tblPr>
        <w:tblW w:type="auto" w:w="0"/>
        <w:tblLayout w:type="fixed"/>
        <w:tblLook w:firstColumn="1" w:firstRow="1" w:lastColumn="0" w:lastRow="0" w:noHBand="0" w:noVBand="1" w:val="04A0"/>
      </w:tblPr>
      <w:tblGrid>
        <w:gridCol w:w="1162"/>
        <w:gridCol w:w="8838"/>
      </w:tblGrid>
      <w:tr>
        <w:tc>
          <w:tcPr>
            <w:tcW w:type="dxa" w:w="5001"/>
            <w:tcMar>
              <w:top w:w="37" w:type="dxa"/>
              <w:start w:w="75" w:type="dxa"/>
              <w:bottom w:w="37" w:type="dxa"/>
              <w:end w:w="75" w:type="dxa"/>
            </w:tcMar>
            <w:tcBorders>
              <w:bottom w:val="single" w:sz="4" w:color="D5DFE5"/>
            </w:tcBorders>
            <w:shd w:fill="F4F8FA"/>
            <w:vAlign w:val="center"/>
          </w:tcPr>
          <w:p>
            <w:r>
              <w:rPr>
                <w:rFonts w:ascii="Carlito" w:hAnsi="Carlito" w:eastAsia="Carlito" w:cs="Carlito"/>
                <w:b/>
                <w:i w:val="0"/>
                <w:color w:val="1B5080"/>
                <w:sz w:val="17"/>
              </w:rPr>
              <w:t>C1  ·  2,0 đ</w:t>
            </w:r>
          </w:p>
        </w:tc>
        <w:tc>
          <w:tcPr>
            <w:tcW w:type="dxa" w:w="5001"/>
            <w:tcMar>
              <w:top w:w="37" w:type="dxa"/>
              <w:start w:w="75" w:type="dxa"/>
              <w:bottom w:w="37" w:type="dxa"/>
              <w:end w:w="75" w:type="dxa"/>
            </w:tcMar>
            <w:tcBorders>
              <w:bottom w:val="single" w:sz="4" w:color="D5DFE5"/>
            </w:tcBorders>
            <w:vAlign w:val="center"/>
          </w:tcPr>
          <w:p>
            <w:r>
              <w:rPr>
                <w:rFonts w:ascii="Carlito" w:hAnsi="Carlito" w:eastAsia="Carlito" w:cs="Carlito"/>
                <w:b w:val="0"/>
                <w:i w:val="0"/>
                <w:sz w:val="17"/>
              </w:rPr>
              <w:t>03 event phù hợp (0,75); đúng vai trò các service (0,75); payload và lý do (0,50).</w:t>
            </w:r>
          </w:p>
        </w:tc>
      </w:tr>
      <w:tr>
        <w:tc>
          <w:tcPr>
            <w:tcW w:type="dxa" w:w="5001"/>
            <w:tcMar>
              <w:top w:w="37" w:type="dxa"/>
              <w:start w:w="75" w:type="dxa"/>
              <w:bottom w:w="37" w:type="dxa"/>
              <w:end w:w="75" w:type="dxa"/>
            </w:tcMar>
            <w:tcBorders>
              <w:bottom w:val="single" w:sz="4" w:color="D5DFE5"/>
            </w:tcBorders>
            <w:shd w:fill="F4F8FA"/>
            <w:vAlign w:val="center"/>
          </w:tcPr>
          <w:p>
            <w:r>
              <w:rPr>
                <w:rFonts w:ascii="Carlito" w:hAnsi="Carlito" w:eastAsia="Carlito" w:cs="Carlito"/>
                <w:b/>
                <w:i w:val="0"/>
                <w:color w:val="1B5080"/>
                <w:sz w:val="17"/>
              </w:rPr>
              <w:t>C2  ·  2,5 đ</w:t>
            </w:r>
          </w:p>
        </w:tc>
        <w:tc>
          <w:tcPr>
            <w:tcW w:type="dxa" w:w="5001"/>
            <w:tcMar>
              <w:top w:w="37" w:type="dxa"/>
              <w:start w:w="75" w:type="dxa"/>
              <w:bottom w:w="37" w:type="dxa"/>
              <w:end w:w="75" w:type="dxa"/>
            </w:tcMar>
            <w:tcBorders>
              <w:bottom w:val="single" w:sz="4" w:color="D5DFE5"/>
            </w:tcBorders>
            <w:vAlign w:val="center"/>
          </w:tcPr>
          <w:p>
            <w:r>
              <w:rPr>
                <w:rFonts w:ascii="Carlito" w:hAnsi="Carlito" w:eastAsia="Carlito" w:cs="Carlito"/>
                <w:b w:val="0"/>
                <w:i w:val="0"/>
                <w:sz w:val="17"/>
              </w:rPr>
              <w:t>Lựa chọn và 02 lý do bám yêu cầu (1,25); đánh đổi (0,75); so sánh phương án còn lại (0,50).</w:t>
            </w:r>
          </w:p>
        </w:tc>
      </w:tr>
      <w:tr>
        <w:tc>
          <w:tcPr>
            <w:tcW w:type="dxa" w:w="5001"/>
            <w:tcMar>
              <w:top w:w="37" w:type="dxa"/>
              <w:start w:w="75" w:type="dxa"/>
              <w:bottom w:w="37" w:type="dxa"/>
              <w:end w:w="75" w:type="dxa"/>
            </w:tcMar>
            <w:tcBorders>
              <w:bottom w:val="single" w:sz="4" w:color="D5DFE5"/>
            </w:tcBorders>
            <w:shd w:fill="F4F8FA"/>
            <w:vAlign w:val="center"/>
          </w:tcPr>
          <w:p>
            <w:r>
              <w:rPr>
                <w:rFonts w:ascii="Carlito" w:hAnsi="Carlito" w:eastAsia="Carlito" w:cs="Carlito"/>
                <w:b/>
                <w:i w:val="0"/>
                <w:color w:val="1B5080"/>
                <w:sz w:val="17"/>
              </w:rPr>
              <w:t>C3  ·  3,0 đ</w:t>
            </w:r>
          </w:p>
        </w:tc>
        <w:tc>
          <w:tcPr>
            <w:tcW w:type="dxa" w:w="5001"/>
            <w:tcMar>
              <w:top w:w="37" w:type="dxa"/>
              <w:start w:w="75" w:type="dxa"/>
              <w:bottom w:w="37" w:type="dxa"/>
              <w:end w:w="75" w:type="dxa"/>
            </w:tcMar>
            <w:tcBorders>
              <w:bottom w:val="single" w:sz="4" w:color="D5DFE5"/>
            </w:tcBorders>
            <w:vAlign w:val="center"/>
          </w:tcPr>
          <w:p>
            <w:r>
              <w:rPr>
                <w:rFonts w:ascii="Carlito" w:hAnsi="Carlito" w:eastAsia="Carlito" w:cs="Carlito"/>
                <w:b w:val="0"/>
                <w:i w:val="0"/>
                <w:sz w:val="17"/>
              </w:rPr>
              <w:t>Service/kênh/hướng truyền rõ (0,75); luồng và điều kiện xác nhận đúng (1,50); Analytics và giải thích (0,75).</w:t>
            </w:r>
          </w:p>
        </w:tc>
      </w:tr>
      <w:tr>
        <w:tc>
          <w:tcPr>
            <w:tcW w:type="dxa" w:w="5001"/>
            <w:tcMar>
              <w:top w:w="37" w:type="dxa"/>
              <w:start w:w="75" w:type="dxa"/>
              <w:bottom w:w="37" w:type="dxa"/>
              <w:end w:w="75" w:type="dxa"/>
            </w:tcMar>
            <w:tcBorders>
              <w:bottom w:val="single" w:sz="4" w:color="D5DFE5"/>
            </w:tcBorders>
            <w:shd w:fill="F4F8FA"/>
            <w:vAlign w:val="center"/>
          </w:tcPr>
          <w:p>
            <w:r>
              <w:rPr>
                <w:rFonts w:ascii="Carlito" w:hAnsi="Carlito" w:eastAsia="Carlito" w:cs="Carlito"/>
                <w:b/>
                <w:i w:val="0"/>
                <w:color w:val="1B5080"/>
                <w:sz w:val="17"/>
              </w:rPr>
              <w:t>C4  ·  2,5 đ</w:t>
            </w:r>
          </w:p>
        </w:tc>
        <w:tc>
          <w:tcPr>
            <w:tcW w:type="dxa" w:w="5001"/>
            <w:tcMar>
              <w:top w:w="37" w:type="dxa"/>
              <w:start w:w="75" w:type="dxa"/>
              <w:bottom w:w="37" w:type="dxa"/>
              <w:end w:w="75" w:type="dxa"/>
            </w:tcMar>
            <w:tcBorders>
              <w:bottom w:val="single" w:sz="4" w:color="D5DFE5"/>
            </w:tcBorders>
            <w:vAlign w:val="center"/>
          </w:tcPr>
          <w:p>
            <w:r>
              <w:rPr>
                <w:rFonts w:ascii="Carlito" w:hAnsi="Carlito" w:eastAsia="Carlito" w:cs="Carlito"/>
                <w:b w:val="0"/>
                <w:i w:val="0"/>
                <w:sz w:val="17"/>
              </w:rPr>
              <w:t>Timeout: trạng thái và giải phóng chỗ có lý do (1,25); thông điệp trùng: rủi ro và biện pháp phù hợp (1,25).</w:t>
            </w:r>
          </w:p>
        </w:tc>
      </w:tr>
    </w:tbl>
    <w:p>
      <w:pPr>
        <w:spacing w:before="60" w:after="60"/>
      </w:pPr>
      <w:r>
        <w:rPr>
          <w:rFonts w:ascii="Carlito" w:hAnsi="Carlito" w:eastAsia="Carlito" w:cs="Carlito"/>
          <w:b/>
          <w:i w:val="0"/>
          <w:color w:val="1B5080"/>
          <w:sz w:val="18"/>
        </w:rPr>
        <w:t xml:space="preserve">QUY ĐỊNH SỬ DỤNG AI  </w:t>
      </w:r>
      <w:r>
        <w:rPr>
          <w:rFonts w:ascii="Carlito" w:hAnsi="Carlito" w:eastAsia="Carlito" w:cs="Carlito"/>
          <w:b w:val="0"/>
          <w:i w:val="0"/>
          <w:sz w:val="17"/>
        </w:rPr>
        <w:t>Được tra cứu ý nghĩa từ khóa (event, broker, mediator, idempotency…) hoặc ví dụ khác; không dùng AI để tạo trọn đáp án hoặc sơ đồ cho đề này. Tự giải thích và bảo vệ quyết định. Nếu có dùng AI, cuối bài ghi 1–3 từ khóa đã tra và diễn giải ngắn bằng lời của mình.</w:t>
      </w:r>
    </w:p>
    <w:p>
      <w:pPr>
        <w:spacing w:before="80" w:after="0"/>
      </w:pPr>
      <w:r>
        <w:rPr>
          <w:rFonts w:ascii="Carlito" w:hAnsi="Carlito" w:eastAsia="Carlito" w:cs="Carlito"/>
          <w:b/>
          <w:i w:val="0"/>
          <w:color w:val="1B5080"/>
          <w:sz w:val="17"/>
        </w:rPr>
        <w:t xml:space="preserve">THAM KHẢO  </w:t>
      </w:r>
      <w:r>
        <w:rPr>
          <w:rFonts w:ascii="Carlito" w:hAnsi="Carlito" w:eastAsia="Carlito" w:cs="Carlito"/>
          <w:b w:val="0"/>
          <w:i w:val="0"/>
          <w:color w:val="536070"/>
          <w:sz w:val="16"/>
        </w:rPr>
        <w:t xml:space="preserve">Slide EDA: trang 4–6, 11–13, 18–21  |  </w:t>
      </w:r>
      <w:hyperlink r:id="rId10">
        <w:r>
          <w:rPr>
            <w:color w:val="125780"/>
            <w:u w:val="single"/>
            <w:sz w:val="16"/>
          </w:rPr>
          <w:t>Microsoft Learn: EDA</w:t>
        </w:r>
      </w:hyperlink>
      <w:r>
        <w:rPr>
          <w:rFonts w:ascii="Carlito" w:hAnsi="Carlito" w:eastAsia="Carlito" w:cs="Carlito"/>
          <w:b w:val="0"/>
          <w:i w:val="0"/>
          <w:color w:val="536070"/>
          <w:sz w:val="16"/>
        </w:rPr>
        <w:t xml:space="preserve">  |  </w:t>
      </w:r>
      <w:hyperlink r:id="rId11">
        <w:r>
          <w:rPr>
            <w:color w:val="125780"/>
            <w:u w:val="single"/>
            <w:sz w:val="16"/>
          </w:rPr>
          <w:t>AWS: Coordination</w:t>
        </w:r>
      </w:hyperlink>
      <w:r>
        <w:rPr>
          <w:rFonts w:ascii="Carlito" w:hAnsi="Carlito" w:eastAsia="Carlito" w:cs="Carlito"/>
          <w:b w:val="0"/>
          <w:i w:val="0"/>
          <w:color w:val="536070"/>
          <w:sz w:val="16"/>
        </w:rPr>
        <w:t xml:space="preserve">  |  </w:t>
      </w:r>
      <w:hyperlink r:id="rId12">
        <w:r>
          <w:rPr>
            <w:color w:val="125780"/>
            <w:u w:val="single"/>
            <w:sz w:val="16"/>
          </w:rPr>
          <w:t>AWS: Pub/Sub</w:t>
        </w:r>
      </w:hyperlink>
    </w:p>
    <w:sectPr w:rsidR="00FC693F" w:rsidRPr="0006063C" w:rsidSect="00034616">
      <w:headerReference w:type="default" r:id="rId9"/>
      <w:footerReference w:type="default" r:id="rId13"/>
      <w:pgSz w:w="11906" w:h="16838"/>
      <w:pgMar w:top="737" w:right="952" w:bottom="669" w:left="952" w:header="306" w:footer="3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eastAsia="Carlito" w:cs="Carlito"/>
        <w:b w:val="0"/>
        <w:i w:val="0"/>
        <w:color w:val="536070"/>
        <w:sz w:val="15"/>
      </w:rPr>
      <w:t>EDA  •  Phân tích và thiết kế dựa trên bằng chứng của tình huống  •  Đánh giá tư duy, không đánh giá học thuộc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Carlito" w:hAnsi="Carlito" w:eastAsia="Carlito" w:cs="Carlito"/>
        <w:b/>
        <w:i w:val="0"/>
        <w:color w:val="536070"/>
        <w:sz w:val="16"/>
      </w:rPr>
      <w:t>HỌC PHẦN KIẾN TRÚC PHẦN MỀM  /  BÀI TẬP CÁ NHÂN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4" w:lineRule="auto"/>
    </w:pPr>
    <w:rPr>
      <w:rFonts w:ascii="Carlito" w:hAnsi="Carlito" w:eastAsia="Carlito"/>
      <w:color w:val="152B4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earn.microsoft.com/en-us/azure/architecture/guide/architecture-styles/event-driven" TargetMode="External"/><Relationship Id="rId11" Type="http://schemas.openxmlformats.org/officeDocument/2006/relationships/hyperlink" Target="https://docs.aws.amazon.com/prescriptive-guidance/latest/modernization-integrating-microservices/choosing-approach.html" TargetMode="External"/><Relationship Id="rId12" Type="http://schemas.openxmlformats.org/officeDocument/2006/relationships/hyperlink" Target="https://docs.aws.amazon.com/prescriptive-guidance/latest/cloud-design-patterns/publish-subscribe.html"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tập cá nhân 60 phút - Event-Driven Architecture</dc:title>
  <dc:subject>Kiến trúc phần mềm - Bài tập EDA</dc:subject>
  <dc:creator/>
  <cp:keywords>EDA, Event-Driven Architecture, Broker, Mediator, Bài tập cá nhân</cp:keywords>
  <dc:description>generated by python-docx</dc:description>
  <cp:lastModifiedBy/>
  <cp:revision>1</cp:revision>
  <dcterms:created xsi:type="dcterms:W3CDTF">2013-12-23T23:15:00Z</dcterms:created>
  <dcterms:modified xsi:type="dcterms:W3CDTF">2013-12-23T23:15:00Z</dcterms:modified>
  <cp:category/>
</cp:coreProperties>
</file>